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Ростехнадзора от 25.12.2023 N 472</w:t>
              <w:br/>
              <w:t xml:space="preserve">(ред. от 16.02.2026)</w:t>
              <w:br/>
              <w:t xml:space="preserve">"Об утверждении методики определения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и предельного размера указанной платы"</w:t>
              <w:br/>
              <w:t xml:space="preserve">(Зарегистрировано в Минюсте России 15.02.2024 N 77280)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15 февраля 2024 г. N 77280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25 декабря 2023 г. N 472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МЕТОДИКИ</w:t>
      </w:r>
    </w:p>
    <w:p>
      <w:pPr>
        <w:pStyle w:val="2"/>
        <w:jc w:val="center"/>
      </w:pPr>
      <w:r>
        <w:rPr>
          <w:sz w:val="24"/>
        </w:rPr>
        <w:t xml:space="preserve">ОПРЕДЕЛЕНИЯ РАЗМЕРА ПЛАТЫ ЗА ОКАЗАНИЕ УСЛУГИ</w:t>
      </w:r>
    </w:p>
    <w:p>
      <w:pPr>
        <w:pStyle w:val="2"/>
        <w:jc w:val="center"/>
      </w:pPr>
      <w:r>
        <w:rPr>
          <w:sz w:val="24"/>
        </w:rPr>
        <w:t xml:space="preserve">ПО ПРОВЕДЕНИЮ ЭКСПЕРТИЗЫ БЕЗОПАСНОСТИ (ЭКСПЕРТИЗЫ</w:t>
      </w:r>
    </w:p>
    <w:p>
      <w:pPr>
        <w:pStyle w:val="2"/>
        <w:jc w:val="center"/>
      </w:pPr>
      <w:r>
        <w:rPr>
          <w:sz w:val="24"/>
        </w:rPr>
        <w:t xml:space="preserve">ОБОСНОВАНИЯ БЕЗОПАСНОСТИ) ОБЪЕКТОВ ИСПОЛЬЗОВАНИЯ АТОМНОЙ</w:t>
      </w:r>
    </w:p>
    <w:p>
      <w:pPr>
        <w:pStyle w:val="2"/>
        <w:jc w:val="center"/>
      </w:pPr>
      <w:r>
        <w:rPr>
          <w:sz w:val="24"/>
        </w:rPr>
        <w:t xml:space="preserve">ЭНЕРГИИ И (ИЛИ) ВИДОВ ДЕЯТЕЛЬНОСТИ В ОБЛАСТИ</w:t>
      </w:r>
    </w:p>
    <w:p>
      <w:pPr>
        <w:pStyle w:val="2"/>
        <w:jc w:val="center"/>
      </w:pPr>
      <w:r>
        <w:rPr>
          <w:sz w:val="24"/>
        </w:rPr>
        <w:t xml:space="preserve">ИСПОЛЬЗОВАНИЯ АТОМНОЙ ЭНЕРГИИ И ПРЕДЕЛЬНОГО</w:t>
      </w:r>
    </w:p>
    <w:p>
      <w:pPr>
        <w:pStyle w:val="2"/>
        <w:jc w:val="center"/>
      </w:pPr>
      <w:r>
        <w:rPr>
          <w:sz w:val="24"/>
        </w:rPr>
        <w:t xml:space="preserve">РАЗМЕРА УКАЗАННОЙ ПЛАТЫ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16.02.2026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постановления Правительства Российской Федерации от 6 мая 2011 г. N 352 "Об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услуг, и определении размера платы за их оказание" &lt;1&gt;, </w:t>
      </w:r>
      <w:hyperlink w:history="0" r:id="rId10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подпунктом 5.2.2.3(2) пункта 5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1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 {КонсультантПлюс}">
        <w:r>
          <w:rPr>
            <w:sz w:val="24"/>
            <w:color w:val="0000ff"/>
          </w:rPr>
          <w:t xml:space="preserve">Пункт 35</w:t>
        </w:r>
      </w:hyperlink>
      <w:r>
        <w:rPr>
          <w:sz w:val="24"/>
        </w:rPr>
        <w:t xml:space="preserve">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государственных услуг, и определении размера платы за их оказание, утвержденного постановлением Правительства Российской Федерации от 6 мая 2011 г. N 352.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42" w:tooltip="МЕТОДИКА">
        <w:r>
          <w:rPr>
            <w:sz w:val="24"/>
            <w:color w:val="0000ff"/>
          </w:rPr>
          <w:t xml:space="preserve">методику</w:t>
        </w:r>
      </w:hyperlink>
      <w:r>
        <w:rPr>
          <w:sz w:val="24"/>
        </w:rPr>
        <w:t xml:space="preserve"> определения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согласно приложению N 1 к настоящему приказу;</w:t>
      </w:r>
    </w:p>
    <w:p>
      <w:pPr>
        <w:pStyle w:val="0"/>
        <w:spacing w:before="240" w:lineRule="auto"/>
        <w:ind w:firstLine="540"/>
        <w:jc w:val="both"/>
      </w:pPr>
      <w:hyperlink w:history="0" w:anchor="P209" w:tooltip="ПРЕДЕЛЬНЫЙ РАЗМЕР">
        <w:r>
          <w:rPr>
            <w:sz w:val="24"/>
            <w:color w:val="0000ff"/>
          </w:rPr>
          <w:t xml:space="preserve">предельный размер</w:t>
        </w:r>
      </w:hyperlink>
      <w:r>
        <w:rPr>
          <w:sz w:val="24"/>
        </w:rPr>
        <w:t xml:space="preserve">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согласно приложению N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2" w:tooltip="Приказ Ростехнадзора от 24.03.2014 N 114 &quot;Об утверждении Методики определения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и предельных размеров платы за проведение экспертизы одного тематического вопроса, включенного в задание на экспертизу безопасности (экспертизу обоснования безопасности) объектов использования атомной энергии и (или) ви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Федеральной службы по экологическому, технологическому и атомному надзору от 24 марта 2014 г. N 114 "Об утверждении Методики определения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и предельных размеров платы за проведение экспертизы одного тематического вопроса, включенного в задание на экспертизу безопасности (экспертизу обоснования безопасности) объектов использования атомной энергии и (или) видов деятельности в области использования атомной энергии" (зарегистрирован Министерством юстиции Российской Федерации 15 октября 2014 г., регистрационный N 34319).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А.В.ТРЕМБИЦКИЙ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25 декабря 2023 г. N 472</w:t>
      </w:r>
    </w:p>
    <w:p>
      <w:pPr>
        <w:pStyle w:val="0"/>
        <w:jc w:val="both"/>
      </w:pPr>
      <w:r>
        <w:rPr>
          <w:sz w:val="24"/>
        </w:rPr>
      </w:r>
    </w:p>
    <w:bookmarkStart w:id="42" w:name="P42"/>
    <w:bookmarkEnd w:id="42"/>
    <w:p>
      <w:pPr>
        <w:pStyle w:val="2"/>
        <w:jc w:val="center"/>
      </w:pPr>
      <w:r>
        <w:rPr>
          <w:sz w:val="24"/>
        </w:rPr>
        <w:t xml:space="preserve">МЕТОДИКА</w:t>
      </w:r>
    </w:p>
    <w:p>
      <w:pPr>
        <w:pStyle w:val="2"/>
        <w:jc w:val="center"/>
      </w:pPr>
      <w:r>
        <w:rPr>
          <w:sz w:val="24"/>
        </w:rPr>
        <w:t xml:space="preserve">ОПРЕДЕЛЕНИЯ РАЗМЕРА ПЛАТЫ ЗА ОКАЗАНИЕ УСЛУГИ</w:t>
      </w:r>
    </w:p>
    <w:p>
      <w:pPr>
        <w:pStyle w:val="2"/>
        <w:jc w:val="center"/>
      </w:pPr>
      <w:r>
        <w:rPr>
          <w:sz w:val="24"/>
        </w:rPr>
        <w:t xml:space="preserve">ПО ПРОВЕДЕНИЮ ЭКСПЕРТИЗЫ БЕЗОПАСНОСТИ (ЭКСПЕРТИЗЫ</w:t>
      </w:r>
    </w:p>
    <w:p>
      <w:pPr>
        <w:pStyle w:val="2"/>
        <w:jc w:val="center"/>
      </w:pPr>
      <w:r>
        <w:rPr>
          <w:sz w:val="24"/>
        </w:rPr>
        <w:t xml:space="preserve">ОБОСНОВАНИЯ БЕЗОПАСНОСТИ) ОБЪЕКТОВ ИСПОЛЬЗОВАНИЯ АТОМНОЙ</w:t>
      </w:r>
    </w:p>
    <w:p>
      <w:pPr>
        <w:pStyle w:val="2"/>
        <w:jc w:val="center"/>
      </w:pPr>
      <w:r>
        <w:rPr>
          <w:sz w:val="24"/>
        </w:rPr>
        <w:t xml:space="preserve">ЭНЕРГИИ И (ИЛИ) ВИДОВ ДЕЯТЕЛЬНОСТИ В ОБЛАСТИ</w:t>
      </w:r>
    </w:p>
    <w:p>
      <w:pPr>
        <w:pStyle w:val="2"/>
        <w:jc w:val="center"/>
      </w:pPr>
      <w:r>
        <w:rPr>
          <w:sz w:val="24"/>
        </w:rPr>
        <w:t xml:space="preserve">ИСПОЛЬЗОВАНИЯ АТОМНОЙ ЭНЕРГИИ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Настоящая Методика предназначена для использования организацией научно-технической поддержки уполномоченного органа государственного регулирования безопасности, предусмотренной </w:t>
      </w:r>
      <w:hyperlink w:history="0" r:id="rId13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статьей 37.1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энергии", функции и полномочия учредителя которой от имени Российской Федерации осуществляет Федеральная служба по экологическому, технологическому и атомному надзору в соответствии со </w:t>
      </w:r>
      <w:hyperlink w:history="0" r:id="rId14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статьей 9.2</w:t>
        </w:r>
      </w:hyperlink>
      <w:r>
        <w:rPr>
          <w:sz w:val="24"/>
        </w:rPr>
        <w:t xml:space="preserve"> Федерального закона от 12 января 1996 г. N 7-ФЗ "О некоммерческих организациях" (далее - экспертная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Размер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(далее - услуга) определяется экспертной организацией на день составления сметы расходов экспертизы в рублях.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Размер платы за оказание услуги в текущем финансовом году (C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определяется путем сложения суммы затрат на рассмотрение вопросов, включенных в задание на проведение экспертизы безопасности (экспертизы обоснования безопасности) объекта использования атомной энергии и (или) лицензируемого вида деятельности &lt;2&gt; (далее - задание) (пример определения размера платы приведен в </w:t>
      </w:r>
      <w:hyperlink w:history="0" w:anchor="P116" w:tooltip="ПРИМЕР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настоящей Методике), и определяется по формуле: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15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Абзац второй пункта 21</w:t>
        </w:r>
      </w:hyperlink>
      <w:r>
        <w:rPr>
          <w:sz w:val="24"/>
        </w:rPr>
        <w:t xml:space="preserve"> Положения о лицензировании деятельности в области использования атомной энергии, утвержденного постановлением Правительства Российской Федерации от 29 марта 2013 г. N 280, </w:t>
      </w:r>
      <w:hyperlink w:history="0" r:id="rId16" w:tooltip="Приказ Ростехнадзора от 08.10.2014 N 453 (ред. от 24.10.2017) &quot;Об утверждении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&quot; (Зарегистрировано в Минюсте России 20.03.2015 N 36496) {КонсультантПлюс}">
        <w:r>
          <w:rPr>
            <w:sz w:val="24"/>
            <w:color w:val="0000ff"/>
          </w:rPr>
          <w:t xml:space="preserve">пункт 70</w:t>
        </w:r>
      </w:hyperlink>
      <w:r>
        <w:rPr>
          <w:sz w:val="24"/>
        </w:rPr>
        <w:t xml:space="preserve">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8 октября 2014 г. N 453 (зарегистрирован Министерством юстиции Российской Федерации 20 марта 2015 г., регистрационный N 36496), с изменениями, внесенными приказом Федеральной службы по экологическому, технологическому и атомному надзору от 24 октября 2017 г. N 444 (зарегистрирован Министерством юстиции Российской Федерации 30 ноября 2017 г., регистрационный N 49051).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8"/>
        </w:rPr>
        <w:drawing>
          <wp:inline distT="0" distB="0" distL="0" distR="0">
            <wp:extent cx="902970" cy="514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вi</w:t>
      </w:r>
      <w:r>
        <w:rPr>
          <w:sz w:val="24"/>
        </w:rPr>
        <w:t xml:space="preserve"> - затраты на рассмотрение одного вопроса, включенного в задание, в текущем (i) финансовом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 - количество вопросов в задании.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Затраты на рассмотрение одного вопроса, включенного в задание (З</w:t>
      </w:r>
      <w:r>
        <w:rPr>
          <w:sz w:val="24"/>
          <w:vertAlign w:val="subscript"/>
        </w:rPr>
        <w:t xml:space="preserve">вi</w:t>
      </w:r>
      <w:r>
        <w:rPr>
          <w:sz w:val="24"/>
        </w:rPr>
        <w:t xml:space="preserve">), определяются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8"/>
        </w:rPr>
        <w:drawing>
          <wp:inline distT="0" distB="0" distL="0" distR="0">
            <wp:extent cx="4572000" cy="5143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пр i-1</w:t>
      </w:r>
      <w:r>
        <w:rPr>
          <w:sz w:val="24"/>
        </w:rPr>
        <w:t xml:space="preserve"> - фактические прямые расходы на рассмотрение одного вопроса, включенного в задание, в отчетном финансовом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- накладные расходы на рассмотрение одного вопроса, включенного в задание, в отчетном финансовом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НДС - ставка налога на добавленную стоимость;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иф i-1</w:t>
      </w:r>
      <w:r>
        <w:rPr>
          <w:sz w:val="24"/>
        </w:rPr>
        <w:t xml:space="preserve"> - фактический коэффициент инфляции за отчетный финансовый год, определяемый исходя из индекса потребительских цен на услуги за отчетный финансовый год в соответствии с официальными данными об уровне инфляции за год (далее - официальные данные), содержащимися в открытом доступе;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ип i-1</w:t>
      </w:r>
      <w:r>
        <w:rPr>
          <w:sz w:val="24"/>
        </w:rPr>
        <w:t xml:space="preserve"> - плановый коэффициент инфляции на отчетный финансовый год, определяемый исходя из базового варианта показателей инфляции на услуги, определенного прогнозом социально-экономического развития Российской Федерации, утверждаемым в соответствии со </w:t>
      </w:r>
      <w:hyperlink w:history="0" r:id="rId19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sz w:val="24"/>
            <w:color w:val="0000ff"/>
          </w:rPr>
          <w:t xml:space="preserve">статьей 24</w:t>
        </w:r>
      </w:hyperlink>
      <w:r>
        <w:rPr>
          <w:sz w:val="24"/>
        </w:rPr>
        <w:t xml:space="preserve"> Федерального закона от 28 июня 2014 г. N 172-ФЗ "О стратегическом планировании в Российской Федерации" (далее - Прогноз), на отчетный финансовый год и плановый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ип i</w:t>
      </w:r>
      <w:r>
        <w:rPr>
          <w:sz w:val="24"/>
        </w:rPr>
        <w:t xml:space="preserve"> - плановый коэффициент инфляции на текущий финансовый год, определяемый исходя из базового варианта показателей инфляции на услуги, определенного Прогнозом на текущий финансовый год и плановый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Фактические прямые расходы на рассмотрение одного вопроса, включенного в задание (З</w:t>
      </w:r>
      <w:r>
        <w:rPr>
          <w:sz w:val="24"/>
          <w:vertAlign w:val="subscript"/>
        </w:rPr>
        <w:t xml:space="preserve">пр i-1</w:t>
      </w:r>
      <w:r>
        <w:rPr>
          <w:sz w:val="24"/>
        </w:rPr>
        <w:t xml:space="preserve">), определяются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пр i-1</w:t>
      </w:r>
      <w:r>
        <w:rPr>
          <w:sz w:val="24"/>
        </w:rPr>
        <w:t xml:space="preserve"> = 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 + Н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 - фактические расходы на оплату труда персонала, принимающего непосредственное участие в рассмотрении одного вопроса, включенного в задание, в отчетном финансовом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 - начисления на фонд оплаты труда персонала, принимающего непосредственное участие в рассмотрении одного вопроса, включенного в задание, установленные законодательством Российской Федерации по налогам и сборам, с учетом предельных размеров баз для начисления страховых взносов в отчетном финансовом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Фактические расходы на оплату труда персонала, принимающего непосредственное участие в рассмотрении одного вопроса, включенного в задание, в отчетном финансовом году (Р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), определяются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 = ТЗ </w:t>
      </w:r>
      <w:r>
        <w:rPr>
          <w:sz w:val="24"/>
          <w:vertAlign w:val="subscript"/>
        </w:rPr>
        <w:t xml:space="preserve">i-1</w:t>
      </w:r>
      <w:r>
        <w:rPr>
          <w:sz w:val="24"/>
        </w:rPr>
        <w:t xml:space="preserve"> x В</w:t>
      </w:r>
      <w:r>
        <w:rPr>
          <w:sz w:val="24"/>
          <w:vertAlign w:val="subscript"/>
        </w:rPr>
        <w:t xml:space="preserve">э i-1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ТЗ </w:t>
      </w:r>
      <w:r>
        <w:rPr>
          <w:sz w:val="24"/>
          <w:vertAlign w:val="subscript"/>
        </w:rPr>
        <w:t xml:space="preserve">i-1</w:t>
      </w:r>
      <w:r>
        <w:rPr>
          <w:sz w:val="24"/>
        </w:rPr>
        <w:t xml:space="preserve"> - средняя стоимость трудозатрат 1 человеко-часа работников экспертной организации, принимающих непосредственное участие в рассмотрении одного вопроса, включенного в задание, с учетом компенсационных и стимулирующих выплат, выплачиваемых в соответствии с законодательством Российской Федерации, в отчетном финансовом году;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</w:t>
      </w:r>
      <w:r>
        <w:rPr>
          <w:sz w:val="24"/>
          <w:vertAlign w:val="subscript"/>
        </w:rPr>
        <w:t xml:space="preserve">э i-1</w:t>
      </w:r>
      <w:r>
        <w:rPr>
          <w:sz w:val="24"/>
        </w:rPr>
        <w:t xml:space="preserve"> - среднее время, затрачиваемое работниками экспертной организации на рассмотрение одного вопроса, включенного в задание, в отчетном финансовом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Затраты времени, связанные с рассмотрением представленных соискателем лицензии или лицензиатом дополнительных обосновывающих материалов, изменений и дополнений, касающихся обеспечения безопасности объекта использования атомной энергии и (или) лицензируемого вида деятельности, в трудоемкость не включены и определяются отдельно.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Накладные расходы (З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) на рассмотрение одного вопроса, включенного в задание, определяются пропорционально (соразмерно) затратам на оплату труда работника, принимающего непосредственное участие в рассмотрении указанного вопроса,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= K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x 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- коэффициент накладных расходов, определенный экспертной организацией в отчетном финансовом году.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накладным расходам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расходы на оплату труда административно-управленческого и вспомогательного персонала, включая начисления в фонд оплаты труда;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общехозяйственные расходы, включающие затраты на коммунальные услуги, услуги связи, транспортные услуги, затраты на приобретение материальных запасов, амортизацию основных средств, затраты на услуги в области информационных технологий, затраты на текущий ремонт по видам основных средств;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затраты на уплату налогов, пошлин и иных обязательных платежей;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прочие расходы, связанные с рассмотрением одного вопроса, включенного в задание.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Пересмотр размера платы за оказание услуги осуществляется экспертной организацией один раз в год с 1 апреля текущего финансового года с учетом коэффициента инфляции в соответствии с официальными данными, содержащимися в открытом доступе.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Методике определения размера</w:t>
      </w:r>
    </w:p>
    <w:p>
      <w:pPr>
        <w:pStyle w:val="0"/>
        <w:jc w:val="right"/>
      </w:pPr>
      <w:r>
        <w:rPr>
          <w:sz w:val="24"/>
        </w:rPr>
        <w:t xml:space="preserve">платы за оказание услуги по проведению</w:t>
      </w:r>
    </w:p>
    <w:p>
      <w:pPr>
        <w:pStyle w:val="0"/>
        <w:jc w:val="right"/>
      </w:pPr>
      <w:r>
        <w:rPr>
          <w:sz w:val="24"/>
        </w:rPr>
        <w:t xml:space="preserve">экспертизы безопасности (экспертизы</w:t>
      </w:r>
    </w:p>
    <w:p>
      <w:pPr>
        <w:pStyle w:val="0"/>
        <w:jc w:val="right"/>
      </w:pPr>
      <w:r>
        <w:rPr>
          <w:sz w:val="24"/>
        </w:rPr>
        <w:t xml:space="preserve">обоснования безопасности) объектов</w:t>
      </w:r>
    </w:p>
    <w:p>
      <w:pPr>
        <w:pStyle w:val="0"/>
        <w:jc w:val="right"/>
      </w:pPr>
      <w:r>
        <w:rPr>
          <w:sz w:val="24"/>
        </w:rPr>
        <w:t xml:space="preserve">использования атомной энергии</w:t>
      </w:r>
    </w:p>
    <w:p>
      <w:pPr>
        <w:pStyle w:val="0"/>
        <w:jc w:val="right"/>
      </w:pPr>
      <w:r>
        <w:rPr>
          <w:sz w:val="24"/>
        </w:rPr>
        <w:t xml:space="preserve">и (или) видов деятельности в области</w:t>
      </w:r>
    </w:p>
    <w:p>
      <w:pPr>
        <w:pStyle w:val="0"/>
        <w:jc w:val="right"/>
      </w:pPr>
      <w:r>
        <w:rPr>
          <w:sz w:val="24"/>
        </w:rPr>
        <w:t xml:space="preserve">использования атомной энергии,</w:t>
      </w:r>
    </w:p>
    <w:p>
      <w:pPr>
        <w:pStyle w:val="0"/>
        <w:jc w:val="right"/>
      </w:pPr>
      <w:r>
        <w:rPr>
          <w:sz w:val="24"/>
        </w:rPr>
        <w:t xml:space="preserve">утвержденной приказом Федеральной</w:t>
      </w:r>
    </w:p>
    <w:p>
      <w:pPr>
        <w:pStyle w:val="0"/>
        <w:jc w:val="right"/>
      </w:pPr>
      <w:r>
        <w:rPr>
          <w:sz w:val="24"/>
        </w:rPr>
        <w:t xml:space="preserve">службы по экологическому,</w:t>
      </w:r>
    </w:p>
    <w:p>
      <w:pPr>
        <w:pStyle w:val="0"/>
        <w:jc w:val="right"/>
      </w:pPr>
      <w:r>
        <w:rPr>
          <w:sz w:val="24"/>
        </w:rPr>
        <w:t xml:space="preserve">технологическому и атомному надзору</w:t>
      </w:r>
    </w:p>
    <w:p>
      <w:pPr>
        <w:pStyle w:val="0"/>
        <w:jc w:val="right"/>
      </w:pPr>
      <w:r>
        <w:rPr>
          <w:sz w:val="24"/>
        </w:rPr>
        <w:t xml:space="preserve">от 25 декабря 2023 г. N 472</w:t>
      </w:r>
    </w:p>
    <w:p>
      <w:pPr>
        <w:pStyle w:val="0"/>
        <w:jc w:val="both"/>
      </w:pPr>
      <w:r>
        <w:rPr>
          <w:sz w:val="24"/>
        </w:rPr>
      </w:r>
    </w:p>
    <w:bookmarkStart w:id="116" w:name="P116"/>
    <w:bookmarkEnd w:id="116"/>
    <w:p>
      <w:pPr>
        <w:pStyle w:val="2"/>
        <w:jc w:val="center"/>
      </w:pPr>
      <w:r>
        <w:rPr>
          <w:sz w:val="24"/>
        </w:rPr>
        <w:t xml:space="preserve">ПРИМЕР</w:t>
      </w:r>
    </w:p>
    <w:p>
      <w:pPr>
        <w:pStyle w:val="2"/>
        <w:jc w:val="center"/>
      </w:pPr>
      <w:r>
        <w:rPr>
          <w:sz w:val="24"/>
        </w:rPr>
        <w:t xml:space="preserve">ОПРЕДЕЛЕНИЯ РАЗМЕРА ПЛАТЫ ЗА ОКАЗАНИЕ УСЛУГИ</w:t>
      </w:r>
    </w:p>
    <w:p>
      <w:pPr>
        <w:pStyle w:val="2"/>
        <w:jc w:val="center"/>
      </w:pPr>
      <w:r>
        <w:rPr>
          <w:sz w:val="24"/>
        </w:rPr>
        <w:t xml:space="preserve">ПО ПРОВЕДЕНИЮ ЭКСПЕРТИЗЫ БЕЗОПАСНОСТИ (ЭКСПЕРТИЗЫ</w:t>
      </w:r>
    </w:p>
    <w:p>
      <w:pPr>
        <w:pStyle w:val="2"/>
        <w:jc w:val="center"/>
      </w:pPr>
      <w:r>
        <w:rPr>
          <w:sz w:val="24"/>
        </w:rPr>
        <w:t xml:space="preserve">ОБОСНОВАНИЯ БЕЗОПАСНОСТИ) ОБЪЕКТОВ ИСПОЛЬЗОВАНИЯ АТОМНОЙ</w:t>
      </w:r>
    </w:p>
    <w:p>
      <w:pPr>
        <w:pStyle w:val="2"/>
        <w:jc w:val="center"/>
      </w:pPr>
      <w:r>
        <w:rPr>
          <w:sz w:val="24"/>
        </w:rPr>
        <w:t xml:space="preserve">ЭНЕРГИИ И (ИЛИ) ВИДОВ ДЕЯТЕЛЬНОСТИ В ОБЛАСТИ</w:t>
      </w:r>
    </w:p>
    <w:p>
      <w:pPr>
        <w:pStyle w:val="2"/>
        <w:jc w:val="center"/>
      </w:pPr>
      <w:r>
        <w:rPr>
          <w:sz w:val="24"/>
        </w:rPr>
        <w:t xml:space="preserve">ИСПОЛЬЗОВАНИЯ АТОМНОЙ ЭНЕРГИИ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Определение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в текущем финансовом году, в рамках которой рассматривается один вопрос, включенный в задание на проведение экспертизы безопасности (экспертизы обоснования безопасности) объекта использования атомной энергии и (или) лицензируемого вида деятельности &lt;3&gt; (далее - рассмотрение одного вопроса), в 2023 году исходя из фактических значений за 2022 год: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0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Абзац второй пункта 21</w:t>
        </w:r>
      </w:hyperlink>
      <w:r>
        <w:rPr>
          <w:sz w:val="24"/>
        </w:rPr>
        <w:t xml:space="preserve"> Положения о лицензировании деятельности в области использования атомной энергии, утвержденного постановлением Правительства Российской Федерации от 29 марта 2013 г. N 280, </w:t>
      </w:r>
      <w:hyperlink w:history="0" r:id="rId21" w:tooltip="Приказ Ростехнадзора от 08.10.2014 N 453 (ред. от 24.10.2017) &quot;Об утверждении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&quot; (Зарегистрировано в Минюсте России 20.03.2015 N 36496) {КонсультантПлюс}">
        <w:r>
          <w:rPr>
            <w:sz w:val="24"/>
            <w:color w:val="0000ff"/>
          </w:rPr>
          <w:t xml:space="preserve">пункт 70</w:t>
        </w:r>
      </w:hyperlink>
      <w:r>
        <w:rPr>
          <w:sz w:val="24"/>
        </w:rPr>
        <w:t xml:space="preserve">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8 октября 2014 г. N 453 (зарегистрирован Министерством юстиции Российской Федерации 20 марта 2015 г., регистрационный N 36496), с изменениями, внесенными приказом Федеральной службы по экологическому, технологическому и атомному надзору от 24 октября 2017 г. N 444 (зарегистрирован Министерством юстиции Российской Федерации 30 ноября 2017 г., регистрационный N 49051).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50"/>
        </w:rPr>
        <w:drawing>
          <wp:inline distT="0" distB="0" distL="0" distR="0">
            <wp:extent cx="3657600" cy="7886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Прямые расходы на рассмотрение одного вопроса: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пр 2022</w:t>
      </w:r>
      <w:r>
        <w:rPr>
          <w:sz w:val="24"/>
        </w:rPr>
        <w:t xml:space="preserve"> = Р</w:t>
      </w:r>
      <w:r>
        <w:rPr>
          <w:sz w:val="24"/>
          <w:vertAlign w:val="subscript"/>
        </w:rPr>
        <w:t xml:space="preserve">тр 2022</w:t>
      </w:r>
      <w:r>
        <w:rPr>
          <w:sz w:val="24"/>
        </w:rPr>
        <w:t xml:space="preserve"> + Н</w:t>
      </w:r>
      <w:r>
        <w:rPr>
          <w:sz w:val="24"/>
          <w:vertAlign w:val="subscript"/>
        </w:rPr>
        <w:t xml:space="preserve">тр 2022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пр 2022</w:t>
      </w:r>
      <w:r>
        <w:rPr>
          <w:sz w:val="24"/>
        </w:rPr>
        <w:t xml:space="preserve"> = 71 165,85 + 21 492,09 = 92 657,94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1.1.1. Фонд оплаты труда работников: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</w:t>
      </w:r>
      <w:r>
        <w:rPr>
          <w:sz w:val="24"/>
          <w:vertAlign w:val="subscript"/>
        </w:rPr>
        <w:t xml:space="preserve">тр 2022</w:t>
      </w:r>
      <w:r>
        <w:rPr>
          <w:sz w:val="24"/>
        </w:rPr>
        <w:t xml:space="preserve"> = ТЗ </w:t>
      </w:r>
      <w:r>
        <w:rPr>
          <w:sz w:val="24"/>
          <w:vertAlign w:val="subscript"/>
        </w:rPr>
        <w:t xml:space="preserve">2022</w:t>
      </w:r>
      <w:r>
        <w:rPr>
          <w:sz w:val="24"/>
        </w:rPr>
        <w:t xml:space="preserve"> x В</w:t>
      </w:r>
      <w:r>
        <w:rPr>
          <w:sz w:val="24"/>
          <w:vertAlign w:val="subscript"/>
        </w:rPr>
        <w:t xml:space="preserve">э 2022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Р</w:t>
      </w:r>
      <w:r>
        <w:rPr>
          <w:sz w:val="24"/>
          <w:vertAlign w:val="subscript"/>
        </w:rPr>
        <w:t xml:space="preserve">тр 2022</w:t>
      </w:r>
      <w:r>
        <w:rPr>
          <w:sz w:val="24"/>
        </w:rPr>
        <w:t xml:space="preserve"> = 1 355,54 x 52,5 = 71 165,85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1.1.2. Начисления на фонд оплаты труда: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4"/>
        </w:rPr>
        <w:drawing>
          <wp:inline distT="0" distB="0" distL="0" distR="0">
            <wp:extent cx="1725930" cy="4686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</w:t>
      </w:r>
      <w:r>
        <w:rPr>
          <w:sz w:val="24"/>
          <w:vertAlign w:val="subscript"/>
        </w:rPr>
        <w:t xml:space="preserve">в</w:t>
      </w:r>
      <w:r>
        <w:rPr>
          <w:sz w:val="24"/>
        </w:rPr>
        <w:t xml:space="preserve"> - страховые взносы на обязательное социальное страхование на случай временной нетрудоспособности и в связи с материнством, на обязательное пенсионное страхование и на обязательное медицинское страхование &lt;4&gt;, - 30,2%.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4" w:tooltip="&quot;Налоговый кодекс Российской Федерации (часть вторая)&quot; от 05.08.2000 N 117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Пункт 3 статьи 425</w:t>
        </w:r>
      </w:hyperlink>
      <w:r>
        <w:rPr>
          <w:sz w:val="24"/>
        </w:rPr>
        <w:t xml:space="preserve"> Налогового кодекса Российской Федерации, </w:t>
      </w:r>
      <w:hyperlink w:history="0" r:id="rId25" w:tooltip="Постановление Правительства РФ от 25.11.2022 N 2143 &quot;О единой предельной величине базы для исчисления страховых взносов с 1 января 2023 г.&quot; {КонсультантПлюс}">
        <w:r>
          <w:rPr>
            <w:sz w:val="24"/>
            <w:color w:val="0000ff"/>
          </w:rPr>
          <w:t xml:space="preserve">пункт 1</w:t>
        </w:r>
      </w:hyperlink>
      <w:r>
        <w:rPr>
          <w:sz w:val="24"/>
        </w:rPr>
        <w:t xml:space="preserve"> постановления Правительства Российской Федерации от 25 ноября 2022 г. N 2143 "О единой предельной величине базы для исчисления страховых взносов с 1 января 2023 г.".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Н</w:t>
      </w:r>
      <w:r>
        <w:rPr>
          <w:sz w:val="24"/>
          <w:vertAlign w:val="subscript"/>
        </w:rPr>
        <w:t xml:space="preserve">тр 2022</w:t>
      </w:r>
      <w:r>
        <w:rPr>
          <w:sz w:val="24"/>
        </w:rPr>
        <w:t xml:space="preserve"> = 71 165,85 x 30,2 / 100 = 21 492,09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Накладные расходы на рассмотрение одного вопроса с учетом коэффициента накладных расходов в размере 45% от фонда оплаты труда работников: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= К</w:t>
      </w:r>
      <w:r>
        <w:rPr>
          <w:sz w:val="24"/>
          <w:vertAlign w:val="subscript"/>
        </w:rPr>
        <w:t xml:space="preserve">н i-1</w:t>
      </w:r>
      <w:r>
        <w:rPr>
          <w:sz w:val="24"/>
        </w:rPr>
        <w:t xml:space="preserve"> x Р</w:t>
      </w:r>
      <w:r>
        <w:rPr>
          <w:sz w:val="24"/>
          <w:vertAlign w:val="subscript"/>
        </w:rPr>
        <w:t xml:space="preserve">тр i-1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н 2022</w:t>
      </w:r>
      <w:r>
        <w:rPr>
          <w:sz w:val="24"/>
        </w:rPr>
        <w:t xml:space="preserve"> = 0,45 x 71 165,85 = 32 024,63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1.3. Фактические расходы на рассмотрение одного вопроса в 2022 году исходя из фактических значений за 2022 год составили: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в 2022</w:t>
      </w:r>
      <w:r>
        <w:rPr>
          <w:sz w:val="24"/>
        </w:rPr>
        <w:t xml:space="preserve"> = (92 657,94 + 32 024,63) x 1,20 = 149 619,08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Затраты на рассмотрение одного вопроса в 2023 году исходя из фактических значений за 2022 год: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З</w:t>
      </w:r>
      <w:r>
        <w:rPr>
          <w:sz w:val="24"/>
          <w:vertAlign w:val="subscript"/>
        </w:rPr>
        <w:t xml:space="preserve">в 2023</w:t>
      </w:r>
      <w:r>
        <w:rPr>
          <w:sz w:val="24"/>
        </w:rPr>
        <w:t xml:space="preserve"> = (92 657,94 + 32 024,63) x 1,20 x (1,132 -</w:t>
      </w:r>
    </w:p>
    <w:p>
      <w:pPr>
        <w:pStyle w:val="0"/>
        <w:jc w:val="center"/>
      </w:pPr>
      <w:r>
        <w:rPr>
          <w:sz w:val="24"/>
        </w:rPr>
        <w:t xml:space="preserve">- (1,042 - 1)) x 1,080 = 176 131,58 руб.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официальными данными об уровне инфляции за год, содержащимися в открытом доступе, индекс потребительских цен на услуги по итогам 2022 года составил 113,2%.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Смета расходов на рассмотрение одного вопроса в 2023 году исходя из фактических значений за 2022 год: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6576"/>
        <w:gridCol w:w="1757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статей расходов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Сумма, руб.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Прямые расходы, в том числе: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92 657,94</w:t>
            </w:r>
          </w:p>
        </w:tc>
      </w:tr>
      <w:tr>
        <w:tc>
          <w:tcPr>
            <w:tcW w:w="737" w:type="dxa"/>
          </w:tcPr>
          <w:bookmarkStart w:id="177" w:name="P177"/>
          <w:bookmarkEnd w:id="177"/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расходы на оплату труда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71 165,85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начисления на фонд оплаты труда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21 492,09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Накладные расходы (45% от </w:t>
            </w:r>
            <w:hyperlink w:history="0" w:anchor="P177" w:tooltip="1.1.">
              <w:r>
                <w:rPr>
                  <w:sz w:val="24"/>
                  <w:color w:val="0000ff"/>
                </w:rPr>
                <w:t xml:space="preserve">стр. 1.1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32 024,63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 расходов собственными силами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124 682,57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Налог на добавленную стоимость (20%)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24 936,51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Коэффициент инфляции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26 512,50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6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Размер платы за проведение экспертизы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176 131,58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25 декабря 2023 г. N 472</w:t>
      </w:r>
    </w:p>
    <w:p>
      <w:pPr>
        <w:pStyle w:val="0"/>
        <w:jc w:val="both"/>
      </w:pPr>
      <w:r>
        <w:rPr>
          <w:sz w:val="24"/>
        </w:rPr>
      </w:r>
    </w:p>
    <w:bookmarkStart w:id="209" w:name="P209"/>
    <w:bookmarkEnd w:id="209"/>
    <w:p>
      <w:pPr>
        <w:pStyle w:val="2"/>
        <w:jc w:val="center"/>
      </w:pPr>
      <w:r>
        <w:rPr>
          <w:sz w:val="24"/>
        </w:rPr>
        <w:t xml:space="preserve">ПРЕДЕЛЬНЫЙ РАЗМЕР</w:t>
      </w:r>
    </w:p>
    <w:p>
      <w:pPr>
        <w:pStyle w:val="2"/>
        <w:jc w:val="center"/>
      </w:pPr>
      <w:r>
        <w:rPr>
          <w:sz w:val="24"/>
        </w:rPr>
        <w:t xml:space="preserve">ПЛАТЫ ЗА ОКАЗАНИЕ УСЛУГИ ПО ПРОВЕДЕНИЮ ЭКСПЕРТИЗЫ</w:t>
      </w:r>
    </w:p>
    <w:p>
      <w:pPr>
        <w:pStyle w:val="2"/>
        <w:jc w:val="center"/>
      </w:pPr>
      <w:r>
        <w:rPr>
          <w:sz w:val="24"/>
        </w:rPr>
        <w:t xml:space="preserve">БЕЗОПАСНОСТИ (ЭКСПЕРТИЗЫ ОБОСНОВАНИЯ БЕЗОПАСНОСТИ) ОБЪЕКТОВ</w:t>
      </w:r>
    </w:p>
    <w:p>
      <w:pPr>
        <w:pStyle w:val="2"/>
        <w:jc w:val="center"/>
      </w:pPr>
      <w:r>
        <w:rPr>
          <w:sz w:val="24"/>
        </w:rPr>
        <w:t xml:space="preserve">ИСПОЛЬЗОВАНИЯ АТОМНОЙ ЭНЕРГИИ И (ИЛИ) ВИДОВ ДЕЯТЕЛЬНОСТИ</w:t>
      </w:r>
    </w:p>
    <w:p>
      <w:pPr>
        <w:pStyle w:val="2"/>
        <w:jc w:val="center"/>
      </w:pPr>
      <w:r>
        <w:rPr>
          <w:sz w:val="24"/>
        </w:rPr>
        <w:t xml:space="preserve">В ОБЛАСТИ ИСПОЛЬЗОВАНИЯ АТОМНОЙ ЭНЕРГИИ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26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16.02.2026 N 43)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Предельный размер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определяется путем сложения сумм затрат на рассмотрение вопросов, включенных в задание на проведение экспертизы безопасности (экспертизы обоснования безопасности) объекта использования атомной энергии и (или) лицензируемого вида деятельности (далее - задание)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7" w:tooltip="Постановление Правительства РФ от 29.03.2013 N 280 (ред. от 18.09.2025) &quot;О лицензировании деятельности в области использования атомной энергии&quot; (вместе с &quot;Положением о лицензировании деятельности в области использования атомной энергии&quot;) {КонсультантПлюс}">
        <w:r>
          <w:rPr>
            <w:sz w:val="24"/>
            <w:color w:val="0000ff"/>
          </w:rPr>
          <w:t xml:space="preserve">Абзац второй пункта 21</w:t>
        </w:r>
      </w:hyperlink>
      <w:r>
        <w:rPr>
          <w:sz w:val="24"/>
        </w:rPr>
        <w:t xml:space="preserve"> Положения о лицензировании деятельности в области использования атомной энергии, утвержденного постановлением Правительства Российской Федерации от 29 марта 2013 г. N 280, </w:t>
      </w:r>
      <w:hyperlink w:history="0" r:id="rId28" w:tooltip="Приказ Ростехнадзора от 08.10.2014 N 453 (ред. от 24.10.2017) &quot;Об утверждении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&quot; (Зарегистрировано в Минюсте России 20.03.2015 N 36496) {КонсультантПлюс}">
        <w:r>
          <w:rPr>
            <w:sz w:val="24"/>
            <w:color w:val="0000ff"/>
          </w:rPr>
          <w:t xml:space="preserve">пункт 70</w:t>
        </w:r>
      </w:hyperlink>
      <w:r>
        <w:rPr>
          <w:sz w:val="24"/>
        </w:rPr>
        <w:t xml:space="preserve"> Административного регламента предоставления Федеральной службой по экологическому, технологическому и атомному надзору государственной услуги по лицензированию деятельности в области использования атомной энергии, утвержденного приказом Федеральной службы по экологическому, технологическому и атомному надзору от 8 октября 2014 г. N 453 (зарегистрирован Министерством юстиции Российской Федерации 20 марта 2015 г., регистрационный N 36496), с изменениями, внесенными приказом Федеральной службы по экологическому, технологическому и атомному надзору от 24 октября 2017 г. N 444 (зарегистрирован Министерством юстиции Российской Федерации 30 ноября 2017 г., регистрационный N 49051).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Затраты на рассмотрение одного вопроса, включенного в задание, с учетом налога на добавленную стоимость приведены в таблице: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24"/>
        <w:gridCol w:w="6746"/>
      </w:tblGrid>
      <w:tr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Период (год)</w:t>
            </w:r>
          </w:p>
        </w:tc>
        <w:tc>
          <w:tcPr>
            <w:tcW w:w="67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Всего, руб.</w:t>
            </w:r>
          </w:p>
        </w:tc>
      </w:tr>
      <w:tr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</w:t>
            </w:r>
          </w:p>
        </w:tc>
        <w:tc>
          <w:tcPr>
            <w:tcW w:w="67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185 290,42</w:t>
            </w:r>
          </w:p>
        </w:tc>
      </w:tr>
      <w:tr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</w:t>
            </w:r>
          </w:p>
        </w:tc>
        <w:tc>
          <w:tcPr>
            <w:tcW w:w="674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192 887,33</w:t>
            </w:r>
          </w:p>
        </w:tc>
      </w:tr>
      <w:tr>
        <w:tblPrEx>
          <w:tblBorders>
            <w:insideH w:val="nil"/>
          </w:tblBorders>
        </w:tblPrEx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</w:t>
            </w:r>
          </w:p>
        </w:tc>
        <w:tc>
          <w:tcPr>
            <w:tcW w:w="674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213 327,73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9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Ростехнадзора от 16.02.2026 N 43)</w:t>
            </w:r>
          </w:p>
        </w:tc>
      </w:tr>
      <w:tr>
        <w:tblPrEx>
          <w:tblBorders>
            <w:insideH w:val="nil"/>
          </w:tblBorders>
        </w:tblPrEx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2027</w:t>
            </w:r>
          </w:p>
        </w:tc>
        <w:tc>
          <w:tcPr>
            <w:tcW w:w="674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221 860,84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30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Ростехнадзора от 16.02.2026 N 43)</w:t>
            </w:r>
          </w:p>
        </w:tc>
      </w:tr>
      <w:tr>
        <w:tblPrEx>
          <w:tblBorders>
            <w:insideH w:val="nil"/>
          </w:tblBorders>
        </w:tblPrEx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2028</w:t>
            </w:r>
          </w:p>
        </w:tc>
        <w:tc>
          <w:tcPr>
            <w:tcW w:w="674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230 735,27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31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Ростехнадзора от 16.02.2026 N 43)</w:t>
            </w:r>
          </w:p>
        </w:tc>
      </w:tr>
      <w:tr>
        <w:tblPrEx>
          <w:tblBorders>
            <w:insideH w:val="nil"/>
          </w:tblBorders>
        </w:tblPrEx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2029</w:t>
            </w:r>
          </w:p>
        </w:tc>
        <w:tc>
          <w:tcPr>
            <w:tcW w:w="674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239 964,68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32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Ростехнадзора от 16.02.2026 N 43)</w:t>
            </w:r>
          </w:p>
        </w:tc>
      </w:tr>
      <w:tr>
        <w:tblPrEx>
          <w:tblBorders>
            <w:insideH w:val="nil"/>
          </w:tblBorders>
        </w:tblPrEx>
        <w:tc>
          <w:tcPr>
            <w:tcW w:w="2324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2030</w:t>
            </w:r>
          </w:p>
        </w:tc>
        <w:tc>
          <w:tcPr>
            <w:tcW w:w="6746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249 563,27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hyperlink w:history="0" r:id="rId33" w:tooltip="Приказ Ростехнадзора от 16.02.2026 N 43 &quot;О внесении изменений в приложение N 2 к приказу Федеральной службы по экологическому, технологическому и атомному надзору от 25 декабря 2023 г. N 472&quot; (Зарегистрировано в Минюсте России 27.05.2026 N 86671)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Ростехнадзора от 16.02.2026 N 43)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25.12.2023 N 472</w:t>
            <w:br/>
            <w:t>(ред. от 16.02.2026)</w:t>
            <w:br/>
            <w:t>"Об утверждении методики определения размера платы за оказ...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35306&amp;date=24.09.2026&amp;dst=100006&amp;field=134" TargetMode = "External"/><Relationship Id="rId9" Type="http://schemas.openxmlformats.org/officeDocument/2006/relationships/hyperlink" Target="https://login.consultant.ru/link/?req=doc&amp;base=LAW&amp;n=530143&amp;date=24.09.2026&amp;dst=100009&amp;field=134" TargetMode = "External"/><Relationship Id="rId10" Type="http://schemas.openxmlformats.org/officeDocument/2006/relationships/hyperlink" Target="https://login.consultant.ru/link/?req=doc&amp;base=LAW&amp;n=538021&amp;date=24.09.2026&amp;dst=103&amp;field=134" TargetMode = "External"/><Relationship Id="rId11" Type="http://schemas.openxmlformats.org/officeDocument/2006/relationships/hyperlink" Target="https://login.consultant.ru/link/?req=doc&amp;base=LAW&amp;n=530143&amp;date=24.09.2026&amp;dst=9&amp;field=134" TargetMode = "External"/><Relationship Id="rId12" Type="http://schemas.openxmlformats.org/officeDocument/2006/relationships/hyperlink" Target="https://login.consultant.ru/link/?req=doc&amp;base=LAW&amp;n=170052&amp;date=24.09.2026" TargetMode = "External"/><Relationship Id="rId13" Type="http://schemas.openxmlformats.org/officeDocument/2006/relationships/hyperlink" Target="https://login.consultant.ru/link/?req=doc&amp;base=LAW&amp;n=507387&amp;date=24.09.2026&amp;dst=163&amp;field=134" TargetMode = "External"/><Relationship Id="rId14" Type="http://schemas.openxmlformats.org/officeDocument/2006/relationships/hyperlink" Target="https://login.consultant.ru/link/?req=doc&amp;base=LAW&amp;n=531462&amp;date=24.09.2026&amp;dst=217&amp;field=134" TargetMode = "External"/><Relationship Id="rId15" Type="http://schemas.openxmlformats.org/officeDocument/2006/relationships/hyperlink" Target="https://login.consultant.ru/link/?req=doc&amp;base=LAW&amp;n=514837&amp;date=24.09.2026&amp;dst=100080&amp;field=134" TargetMode = "External"/><Relationship Id="rId16" Type="http://schemas.openxmlformats.org/officeDocument/2006/relationships/hyperlink" Target="https://login.consultant.ru/link/?req=doc&amp;base=LAW&amp;n=284104&amp;date=24.09.2026&amp;dst=100305&amp;field=134" TargetMode = "External"/><Relationship Id="rId17" Type="http://schemas.openxmlformats.org/officeDocument/2006/relationships/image" Target="media/image2.wmf"/><Relationship Id="rId18" Type="http://schemas.openxmlformats.org/officeDocument/2006/relationships/image" Target="media/image3.wmf"/><Relationship Id="rId19" Type="http://schemas.openxmlformats.org/officeDocument/2006/relationships/hyperlink" Target="https://login.consultant.ru/link/?req=doc&amp;base=LAW&amp;n=480785&amp;date=24.09.2026&amp;dst=100357&amp;field=134" TargetMode = "External"/><Relationship Id="rId20" Type="http://schemas.openxmlformats.org/officeDocument/2006/relationships/hyperlink" Target="https://login.consultant.ru/link/?req=doc&amp;base=LAW&amp;n=514837&amp;date=24.09.2026&amp;dst=100080&amp;field=134" TargetMode = "External"/><Relationship Id="rId21" Type="http://schemas.openxmlformats.org/officeDocument/2006/relationships/hyperlink" Target="https://login.consultant.ru/link/?req=doc&amp;base=LAW&amp;n=284104&amp;date=24.09.2026&amp;dst=100305&amp;field=134" TargetMode = "External"/><Relationship Id="rId22" Type="http://schemas.openxmlformats.org/officeDocument/2006/relationships/image" Target="media/image4.wmf"/><Relationship Id="rId23" Type="http://schemas.openxmlformats.org/officeDocument/2006/relationships/image" Target="media/image5.wmf"/><Relationship Id="rId24" Type="http://schemas.openxmlformats.org/officeDocument/2006/relationships/hyperlink" Target="https://login.consultant.ru/link/?req=doc&amp;base=LAW&amp;n=519179&amp;date=24.09.2026&amp;dst=23011&amp;field=134" TargetMode = "External"/><Relationship Id="rId25" Type="http://schemas.openxmlformats.org/officeDocument/2006/relationships/hyperlink" Target="https://login.consultant.ru/link/?req=doc&amp;base=LAW&amp;n=432426&amp;date=24.09.2026&amp;dst=100005&amp;field=134" TargetMode = "External"/><Relationship Id="rId26" Type="http://schemas.openxmlformats.org/officeDocument/2006/relationships/hyperlink" Target="https://login.consultant.ru/link/?req=doc&amp;base=LAW&amp;n=535306&amp;date=24.09.2026&amp;dst=100006&amp;field=134" TargetMode = "External"/><Relationship Id="rId27" Type="http://schemas.openxmlformats.org/officeDocument/2006/relationships/hyperlink" Target="https://login.consultant.ru/link/?req=doc&amp;base=LAW&amp;n=514837&amp;date=24.09.2026&amp;dst=100080&amp;field=134" TargetMode = "External"/><Relationship Id="rId28" Type="http://schemas.openxmlformats.org/officeDocument/2006/relationships/hyperlink" Target="https://login.consultant.ru/link/?req=doc&amp;base=LAW&amp;n=284104&amp;date=24.09.2026&amp;dst=100305&amp;field=134" TargetMode = "External"/><Relationship Id="rId29" Type="http://schemas.openxmlformats.org/officeDocument/2006/relationships/hyperlink" Target="https://login.consultant.ru/link/?req=doc&amp;base=LAW&amp;n=535306&amp;date=24.09.2026&amp;dst=100010&amp;field=134" TargetMode = "External"/><Relationship Id="rId30" Type="http://schemas.openxmlformats.org/officeDocument/2006/relationships/hyperlink" Target="https://login.consultant.ru/link/?req=doc&amp;base=LAW&amp;n=535306&amp;date=24.09.2026&amp;dst=100011&amp;field=134" TargetMode = "External"/><Relationship Id="rId31" Type="http://schemas.openxmlformats.org/officeDocument/2006/relationships/hyperlink" Target="https://login.consultant.ru/link/?req=doc&amp;base=LAW&amp;n=535306&amp;date=24.09.2026&amp;dst=100015&amp;field=134" TargetMode = "External"/><Relationship Id="rId32" Type="http://schemas.openxmlformats.org/officeDocument/2006/relationships/hyperlink" Target="https://login.consultant.ru/link/?req=doc&amp;base=LAW&amp;n=535306&amp;date=24.09.2026&amp;dst=100017&amp;field=134" TargetMode = "External"/><Relationship Id="rId33" Type="http://schemas.openxmlformats.org/officeDocument/2006/relationships/hyperlink" Target="https://login.consultant.ru/link/?req=doc&amp;base=LAW&amp;n=535306&amp;date=24.09.2026&amp;dst=10001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25.12.2023 N 472
(ред. от 16.02.2026)
"Об утверждении методики определения размера платы за оказание 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 и предельного размера указанной платы"
(Зарегистрировано в Минюсте России 15.02.2024 N 77280)</dc:title>
  <dcterms:created xsi:type="dcterms:W3CDTF">2026-09-24T05:42:31Z</dcterms:created>
</cp:coreProperties>
</file>